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C" w:rsidRPr="00225E5C" w:rsidRDefault="00225E5C" w:rsidP="00225E5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25E5C"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25E5C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квартал </w:t>
      </w:r>
      <w:r w:rsidRPr="00225E5C">
        <w:rPr>
          <w:rFonts w:ascii="Times New Roman" w:hAnsi="Times New Roman"/>
          <w:b/>
          <w:sz w:val="24"/>
          <w:szCs w:val="24"/>
        </w:rPr>
        <w:t>2020 г.</w:t>
      </w:r>
    </w:p>
    <w:p w:rsidR="00246E91" w:rsidRPr="00225E5C" w:rsidRDefault="00225E5C" w:rsidP="00225E5C">
      <w:pPr>
        <w:spacing w:after="0"/>
        <w:ind w:firstLine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225E5C">
        <w:rPr>
          <w:rFonts w:ascii="Times New Roman" w:hAnsi="Times New Roman"/>
          <w:b/>
          <w:sz w:val="24"/>
          <w:szCs w:val="24"/>
        </w:rPr>
        <w:t>Кафедры экономической теории и социальной работы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780DD3" w:rsidRDefault="00B906AF" w:rsidP="000C45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0DD3">
              <w:rPr>
                <w:rFonts w:ascii="Times New Roman" w:hAnsi="Times New Roman"/>
              </w:rPr>
              <w:t xml:space="preserve">Рыбасова Ю.Ю. </w:t>
            </w:r>
            <w:r w:rsidR="00631064" w:rsidRPr="00780DD3">
              <w:rPr>
                <w:rFonts w:ascii="Times New Roman" w:hAnsi="Times New Roman"/>
                <w:sz w:val="24"/>
                <w:szCs w:val="24"/>
              </w:rPr>
              <w:t>Особенности формирования общекультурных компетенций бакалавров в процессе профессиональной подготовки //</w:t>
            </w:r>
            <w:r w:rsidR="00BE7B1F" w:rsidRPr="00780DD3">
              <w:rPr>
                <w:rFonts w:ascii="Times New Roman" w:hAnsi="Times New Roman"/>
              </w:rPr>
              <w:t>Роль гуманитарных дисциплин в процессе подготовки студентов к профессиональной деятельности: сборник научных трудов Всероссийской конференции для преподавателей СОО, СПО, ВО, студентов, аспирантов и молодых ученых. – Казань: Изд-во «Печать-сервис XXI век», 2020. -156с.</w:t>
            </w:r>
          </w:p>
          <w:p w:rsidR="00BE7B1F" w:rsidRDefault="001B2532" w:rsidP="000C45F8">
            <w:pPr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Рыбасова Ю.Ю., Попова Ю.А. </w:t>
            </w:r>
            <w:r w:rsidR="00780DD3" w:rsidRPr="00780DD3">
              <w:rPr>
                <w:rFonts w:ascii="Times New Roman" w:hAnsi="Times New Roman"/>
                <w:sz w:val="24"/>
                <w:szCs w:val="24"/>
              </w:rPr>
              <w:t>Музыкальное искусство как основа гуманитарной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готовки </w:t>
            </w:r>
            <w:r w:rsidR="00780DD3" w:rsidRPr="00780DD3">
              <w:rPr>
                <w:rFonts w:ascii="Times New Roman" w:hAnsi="Times New Roman"/>
                <w:sz w:val="24"/>
                <w:szCs w:val="24"/>
              </w:rPr>
              <w:t>бакалавров в Вузе</w:t>
            </w:r>
            <w:r w:rsidR="00780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0DD3" w:rsidRPr="00780DD3">
              <w:rPr>
                <w:rFonts w:ascii="Times New Roman" w:hAnsi="Times New Roman"/>
                <w:sz w:val="24"/>
                <w:szCs w:val="24"/>
              </w:rPr>
              <w:t>//</w:t>
            </w:r>
            <w:r w:rsidR="00BE7B1F" w:rsidRPr="00780DD3">
              <w:rPr>
                <w:rFonts w:ascii="Times New Roman" w:hAnsi="Times New Roman"/>
              </w:rPr>
              <w:t>Роль гуманитарных дисциплин в процессе подготовки студентов к профессиональной деятельности: сборник научных трудов Всероссийской конференции для преподавателей СОО, СПО, ВО, студентов, аспирантов и молодых ученых. – Казань: Изд-во «Печать-сервис XXI век», 2020. -156с.</w:t>
            </w:r>
          </w:p>
          <w:p w:rsidR="000C45F8" w:rsidRDefault="000C45F8" w:rsidP="000C45F8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Рыбасова Ю.Ю.,</w:t>
            </w:r>
            <w:r w:rsidRPr="00DC2251">
              <w:rPr>
                <w:rFonts w:ascii="Times New Roman" w:hAnsi="Times New Roman"/>
                <w:sz w:val="24"/>
                <w:szCs w:val="24"/>
              </w:rPr>
              <w:t xml:space="preserve"> Низамиева А.Г.</w:t>
            </w:r>
            <w:r w:rsidR="00A95475">
              <w:rPr>
                <w:rFonts w:ascii="Times New Roman" w:hAnsi="Times New Roman"/>
              </w:rPr>
              <w:t xml:space="preserve"> Особенности культурно-познавательного туризма Франции//</w:t>
            </w:r>
            <w:r w:rsidR="00843236" w:rsidRPr="00C538FE">
              <w:rPr>
                <w:rFonts w:ascii="Times New Roman" w:hAnsi="Times New Roman"/>
              </w:rPr>
              <w:t xml:space="preserve"> Проблемы и перспективы развития туризма в Российской Федерации: Сборник научных трудов. – Симферополь: ФГАОУ ВО «КФУ им. В.И. Вернадского», 2020. – 439 с.</w:t>
            </w:r>
          </w:p>
          <w:p w:rsidR="00843236" w:rsidRPr="00F22DB5" w:rsidRDefault="00525862" w:rsidP="00432D8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Рыбасова Ю.Ю.,</w:t>
            </w:r>
            <w:r w:rsidRPr="00DC2251">
              <w:rPr>
                <w:rFonts w:ascii="Times New Roman" w:hAnsi="Times New Roman"/>
                <w:sz w:val="24"/>
                <w:szCs w:val="24"/>
              </w:rPr>
              <w:t xml:space="preserve"> Низамиева А.Г.</w:t>
            </w:r>
            <w:r w:rsidRPr="00B96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B96084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>З</w:t>
              </w:r>
            </w:hyperlink>
            <w:r w:rsidRPr="00B96084">
              <w:rPr>
                <w:rFonts w:ascii="Times New Roman" w:hAnsi="Times New Roman"/>
                <w:sz w:val="24"/>
                <w:szCs w:val="24"/>
              </w:rPr>
              <w:t>арождение кооперативного</w:t>
            </w:r>
            <w:hyperlink r:id="rId8" w:history="1">
              <w:r w:rsidRPr="00525862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движения в рамках преподаваемой дисциплины «Международный культурный обмен и деловые коммуникации»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07376D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432D8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сборнике: Кооперация</w:t>
            </w:r>
            <w:r w:rsidRPr="0007376D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r w:rsidR="00432D8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в меняющемся мире</w:t>
            </w:r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 xml:space="preserve"> </w:t>
            </w:r>
            <w:r w:rsidR="00432D88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цифровых технологий</w:t>
            </w:r>
            <w:r w:rsidRPr="0007376D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Сборник материалов III международной научно-практической конференции, посвященной Международному дню кооперативов в год празднования 100-летия ТАССР. Казань, 2020. С. 237-241.</w:t>
            </w:r>
          </w:p>
        </w:tc>
      </w:tr>
      <w:tr w:rsidR="00095164" w:rsidRPr="00EC608F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06680F" w:rsidP="00530407">
            <w:pPr>
              <w:ind w:firstLine="0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445C2C">
              <w:rPr>
                <w:rFonts w:ascii="Times New Roman" w:hAnsi="Times New Roman"/>
                <w:sz w:val="24"/>
                <w:szCs w:val="24"/>
              </w:rPr>
              <w:t>Рыбасова Ю.Ю.</w:t>
            </w:r>
            <w:r w:rsidR="00530407">
              <w:rPr>
                <w:rFonts w:ascii="Times New Roman" w:hAnsi="Times New Roman"/>
                <w:sz w:val="24"/>
                <w:szCs w:val="24"/>
              </w:rPr>
              <w:t xml:space="preserve"> Актуальные проблемы и современные тенденции развития </w:t>
            </w:r>
            <w:r w:rsidR="00530407">
              <w:rPr>
                <w:rFonts w:ascii="Times New Roman" w:hAnsi="Times New Roman"/>
                <w:sz w:val="24"/>
                <w:szCs w:val="24"/>
              </w:rPr>
              <w:lastRenderedPageBreak/>
              <w:t>кооперационных и интеграционных процессов в контексте гуманитарного знания//</w:t>
            </w:r>
            <w:hyperlink r:id="rId9" w:history="1"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Frontier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Information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Technology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and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Systems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Research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in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Cooperative</w:t>
              </w:r>
              <w:r w:rsidR="00CE0504" w:rsidRPr="00783DD1">
                <w:rPr>
                  <w:rFonts w:ascii="Times New Roman" w:hAnsi="Times New Roman"/>
                  <w:spacing w:val="4"/>
                </w:rPr>
                <w:t xml:space="preserve"> </w:t>
              </w:r>
              <w:r w:rsidR="00CE0504" w:rsidRPr="00783DD1">
                <w:rPr>
                  <w:rFonts w:ascii="Times New Roman" w:hAnsi="Times New Roman"/>
                  <w:spacing w:val="4"/>
                  <w:lang w:val="en-US"/>
                </w:rPr>
                <w:t>Economics</w:t>
              </w:r>
            </w:hyperlink>
            <w:r w:rsidR="00CE0504" w:rsidRPr="00783DD1">
              <w:rPr>
                <w:rFonts w:ascii="Times New Roman" w:hAnsi="Times New Roman"/>
                <w:spacing w:val="4"/>
              </w:rPr>
              <w:t>/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/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Боговиз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.,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Суглобов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.,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Малолетко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Каурова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.,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Лобова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>. (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>ред</w:t>
            </w:r>
            <w:r w:rsidR="00CE0504" w:rsidRPr="007E50A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.)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пограничные: Информационные технологии и системные исследования в кооперативной экономике. Исследования в области систем, принятия решений и управления, Том 316. Спрингер, Чам. 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http</w:t>
            </w:r>
            <w:r w:rsidR="00CE0504" w:rsidRPr="00783DD1">
              <w:rPr>
                <w:rFonts w:ascii="Times New Roman" w:hAnsi="Times New Roman"/>
                <w:spacing w:val="4"/>
                <w:sz w:val="24"/>
                <w:szCs w:val="24"/>
              </w:rPr>
              <w:t>//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doi</w:t>
            </w:r>
            <w:r w:rsidR="00CE0504" w:rsidRPr="00783DD1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CE0504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org</w:t>
            </w:r>
            <w:r w:rsidR="00CE0504" w:rsidRPr="00783DD1">
              <w:rPr>
                <w:rFonts w:ascii="Times New Roman" w:hAnsi="Times New Roman"/>
                <w:spacing w:val="4"/>
                <w:sz w:val="24"/>
                <w:szCs w:val="24"/>
              </w:rPr>
              <w:t>/10.1007/978-3-030-57831-2_36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Имя</w:t>
            </w:r>
            <w:r w:rsidR="008E2BFF" w:rsidRP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>издателя</w:t>
            </w:r>
            <w:r w:rsidR="008E2BFF" w:rsidRP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: 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Springer</w:t>
            </w:r>
            <w:r w:rsidR="008E2BFF" w:rsidRPr="008E2BFF"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Cham</w:t>
            </w:r>
            <w:r w:rsidR="008E2BFF" w:rsidRPr="008E2BFF">
              <w:rPr>
                <w:rFonts w:ascii="Times New Roman" w:hAnsi="Times New Roman"/>
                <w:spacing w:val="4"/>
                <w:sz w:val="24"/>
                <w:szCs w:val="24"/>
              </w:rPr>
              <w:t>- 25.09.2020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="008E2BFF" w:rsidRPr="002654B3">
              <w:rPr>
                <w:rFonts w:ascii="Times New Roman" w:hAnsi="Times New Roman"/>
                <w:spacing w:val="4"/>
                <w:sz w:val="24"/>
                <w:szCs w:val="24"/>
                <w:lang w:val="en-US"/>
              </w:rPr>
              <w:t>pp</w:t>
            </w:r>
            <w:r w:rsidR="008E2BFF">
              <w:rPr>
                <w:rFonts w:ascii="Times New Roman" w:hAnsi="Times New Roman"/>
                <w:spacing w:val="4"/>
                <w:sz w:val="24"/>
                <w:szCs w:val="24"/>
              </w:rPr>
              <w:t>.</w:t>
            </w:r>
            <w:r w:rsidR="008E2BFF" w:rsidRPr="008E2BFF">
              <w:rPr>
                <w:rFonts w:ascii="Times New Roman" w:hAnsi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="008E2BFF" w:rsidRPr="008E2BFF">
              <w:rPr>
                <w:rFonts w:ascii="Times New Roman" w:hAnsi="Times New Roman"/>
                <w:spacing w:val="4"/>
                <w:sz w:val="24"/>
                <w:szCs w:val="24"/>
              </w:rPr>
              <w:t>345-353</w:t>
            </w:r>
          </w:p>
          <w:p w:rsidR="0006680F" w:rsidRDefault="000A2F0E" w:rsidP="0053040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2F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Nurtdinov, I.I. Kazan State Medical University, Russian Federation</w:t>
            </w:r>
            <w:r w:rsidR="008B1658">
              <w:rPr>
                <w:rFonts w:ascii="Times New Roman" w:hAnsi="Times New Roman"/>
                <w:sz w:val="24"/>
                <w:szCs w:val="24"/>
                <w:lang w:val="en-US"/>
              </w:rPr>
              <w:t>, 2021. A comparative analysis of the methods used to assess borrower.</w:t>
            </w:r>
          </w:p>
          <w:p w:rsidR="008B1658" w:rsidRPr="000A2F0E" w:rsidRDefault="008B1658" w:rsidP="00530407">
            <w:pPr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Ignateev, V.G. Kazan National Research Technological, University Kazan, Russian Federation. A comparative analysis of the methods used to assess borrower.</w:t>
            </w:r>
          </w:p>
        </w:tc>
      </w:tr>
      <w:tr w:rsidR="00095164" w:rsidRPr="00EC608F" w:rsidTr="00A632A6">
        <w:tc>
          <w:tcPr>
            <w:tcW w:w="3408" w:type="dxa"/>
            <w:vMerge/>
          </w:tcPr>
          <w:p w:rsidR="00095164" w:rsidRPr="00C75AAA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WebofS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AAA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со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>-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225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4940" w:type="dxa"/>
          </w:tcPr>
          <w:p w:rsidR="00095164" w:rsidRPr="000A2F0E" w:rsidRDefault="000A2F0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IIgiz Irekovich International legal and domestic leasing regulation at the current stage of government administration implementation in the conditions of scientific and texnological development. Revista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Inclusiones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Volumen 7,</w:t>
            </w:r>
            <w:r w:rsidRPr="000668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75AAA">
              <w:rPr>
                <w:rFonts w:ascii="Times New Roman" w:hAnsi="Times New Roman"/>
                <w:sz w:val="24"/>
                <w:szCs w:val="24"/>
                <w:lang w:val="en-US"/>
              </w:rPr>
              <w:t>Septi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75AAA">
              <w:rPr>
                <w:rFonts w:ascii="Times New Roman" w:hAnsi="Times New Roman"/>
                <w:sz w:val="24"/>
                <w:szCs w:val="24"/>
                <w:lang w:val="en-US"/>
              </w:rPr>
              <w:t>mbre 2020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Kazan State Medical University of the Ministry of Health of the Russian Federation, Russia.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A2F0E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Default="007A5354" w:rsidP="00EC608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9624FD" w:rsidRPr="009624FD">
              <w:rPr>
                <w:color w:val="000000"/>
              </w:rPr>
              <w:t>Максимова М.Н., Заганшина З.Р. Инновационная роль СО НКО в формировании и оказании социальных услуг. – Социально-экономическая эффективность управления общественным здоровьем в условиях цифровой среды: Третья ежегодная научно-практическая конференция; Казань – Москва, КФУ, Институт управления, экономики и финансов, МГУ имени М.В. Ломоносова, экономический факультет; 23–24 апреля 2019 г.: монография / под ред. Е.М. Разумовской, Л.А. Тутова, З.Р. Зиганшиной. – М.: ТЕИС, 2020. – 216 с. (С. 125–127).</w:t>
            </w:r>
          </w:p>
          <w:p w:rsidR="007A5354" w:rsidRDefault="007A5354" w:rsidP="00EC608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9624FD">
              <w:rPr>
                <w:color w:val="000000"/>
              </w:rPr>
              <w:t xml:space="preserve"> Заганшина З.Р.</w:t>
            </w:r>
            <w:r>
              <w:rPr>
                <w:color w:val="000000"/>
              </w:rPr>
              <w:t xml:space="preserve">, </w:t>
            </w:r>
            <w:r w:rsidRPr="009624FD">
              <w:rPr>
                <w:color w:val="000000"/>
              </w:rPr>
              <w:t>Максимова М.Н.,</w:t>
            </w:r>
            <w:r>
              <w:rPr>
                <w:color w:val="000000"/>
              </w:rPr>
              <w:t xml:space="preserve"> </w:t>
            </w:r>
            <w:r w:rsidRPr="009624FD">
              <w:rPr>
                <w:color w:val="000000"/>
              </w:rPr>
              <w:t xml:space="preserve">Инновационная роль СО НКО в формировании и оказании социальных услуг. – Социально-экономическая эффективность управления общественным здоровьем в условиях цифровой среды: Третья ежегодная научно-практическая конференция; Казань – Москва, КФУ, Институт управления, экономики и финансов, МГУ имени М.В. Ломоносова, экономический факультет; 23–24 апреля 2019 г.: монография / под ред. Е.М. Разумовской, Л.А. Тутова, З.Р. Зиганшиной. </w:t>
            </w:r>
            <w:r w:rsidRPr="009624FD">
              <w:rPr>
                <w:color w:val="000000"/>
              </w:rPr>
              <w:lastRenderedPageBreak/>
              <w:t>– М.: ТЕИС, 2020. – 216 с. (С. 125–127).</w:t>
            </w:r>
          </w:p>
          <w:p w:rsidR="004009EB" w:rsidRDefault="004009EB" w:rsidP="00EC608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3. Зиганшина З.Р. Методология управления проектами в здравоохранении: федеральные проекты, региональные инновации, врачебные кейсы, общественные инициативы.</w:t>
            </w:r>
            <w:r w:rsidR="00CF0CAC" w:rsidRPr="009624FD">
              <w:rPr>
                <w:color w:val="000000"/>
              </w:rPr>
              <w:t xml:space="preserve"> Казань – Москва, КФУ, Институт управления, экономики и финансов, МГУ имени М.В. Ломоносова, экономический факультет; 23–24 апреля 2019 г.: монография / под ред. Е.М. Разумовской, Л.А. Тутова, З.Р. Зиганшиной. </w:t>
            </w:r>
            <w:r>
              <w:rPr>
                <w:color w:val="000000"/>
              </w:rPr>
              <w:t xml:space="preserve"> (С. 27–29).</w:t>
            </w:r>
          </w:p>
          <w:p w:rsidR="00E91FD3" w:rsidRDefault="00E91FD3" w:rsidP="00EC608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91FD3">
              <w:rPr>
                <w:color w:val="000000"/>
              </w:rPr>
              <w:t>. Максимова М.Н., Абдреева Ю.И., Гинсбург М.В. Оказание услуг социального обслуживания инвалидам с ментальными нарушениями в стационарных учреждениях социального обслуживания // Экономика регионов: тенденции развития (научный анализ и практика деятельности): монография (с участием международных авторов) / [Н.Б. Андренов, Ю.И. Абдреева, В.П. Беклемешев и др.]; под общей ред. проф. С.Г. Емельянова; (Отв. ред. проф. О.И. Кириков) – Книга 25. – Москва: Наука: информ; Воронеж: ВГПУ, 2020. – 171 с. (С. 157 – 171).</w:t>
            </w:r>
          </w:p>
          <w:p w:rsidR="00476D1B" w:rsidRDefault="00476D1B" w:rsidP="00EC608F">
            <w:pPr>
              <w:pStyle w:val="ac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E91FD3">
              <w:rPr>
                <w:color w:val="000000"/>
              </w:rPr>
              <w:t>Гинсбург М.В. Максимо</w:t>
            </w:r>
            <w:r>
              <w:rPr>
                <w:color w:val="000000"/>
              </w:rPr>
              <w:t>ва М.Н., Абдреева Ю.И.,</w:t>
            </w:r>
            <w:r w:rsidRPr="00E91FD3">
              <w:rPr>
                <w:color w:val="000000"/>
              </w:rPr>
              <w:t xml:space="preserve"> Оказание услуг социального обслуживания инвалидам с ментальными нарушениями в стационарных учреждениях социального обслуживания // Экономика регионов: тенденции развития (научный анализ и практика деятельности): монография (с участием международных авторов) / [Н.Б. Андренов, Ю.И. Абдреева, В.П. Беклемешев и др.]; под общей ред. проф. С.Г. Емельянова; (Отв. ред. проф. О.И. Кириков) – Книга 25. – Москва: Наука: информ; Воронеж: ВГПУ, 2020. – 171 с. (С. 157 – 171).</w:t>
            </w:r>
          </w:p>
          <w:p w:rsidR="00476D1B" w:rsidRPr="009624FD" w:rsidRDefault="00583524" w:rsidP="00EC608F">
            <w:pPr>
              <w:pStyle w:val="ac"/>
              <w:jc w:val="both"/>
              <w:rPr>
                <w:color w:val="000000"/>
              </w:rPr>
            </w:pPr>
            <w:r w:rsidRPr="00583524">
              <w:rPr>
                <w:color w:val="000000"/>
              </w:rPr>
              <w:t>6. Максимова М.Н., Мутигуллина Д.Д. Анализ опыта внедрения системы долговременного ухода в комплексных центрах социального обслуживания населения Республики Татарстан // Экономика регионов: тенденции развития (научный анализ и практика деятельности): монография (с участием международных авторов) / [Н.Б. Андренов, Ю.И. Абдреева, В.П. Беклемешев и др.]; под общей ред. проф. С.Г. Емельянова; (Отв. ред. проф. О.И. Кириков) – Книга 25. – Москва: Наука: информ; Воронеж: ВГПУ, 2020. – 171 с. (С.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>139 – 156).</w:t>
            </w: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AA17ED" w:rsidRDefault="00AA17ED" w:rsidP="00EC6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1. Гинсбург М.В., Зинатуллина И.И.  Международная научно-практическая конференция Социальные процессы современной России 19-20 ноября 2020 г. Том 2, Нижний Новгород. Профессиональное обучение как направление содействия занятости граждан предпенсионного возраста.</w:t>
            </w:r>
            <w:r w:rsidR="00CB63E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(С. 150–154).</w:t>
            </w:r>
          </w:p>
          <w:p w:rsidR="00AA17ED" w:rsidRDefault="00AA17ED" w:rsidP="00EC6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2. Максимова М.Н., Афлетонова А.Н.  Международная научно-практическая конференция Социальные процессы современной России 19-20 ноября 2020 г. Том 2, Нижний Новгород. Анализ технологий предоставления социальных услуг, направленных на социальную адаптацию, восстановление семейных связей  и трудоустройство лиц бомж.</w:t>
            </w:r>
            <w:r w:rsidR="00CB63E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(С. 417–420).</w:t>
            </w:r>
          </w:p>
          <w:p w:rsidR="00AA17ED" w:rsidRDefault="00AA17ED" w:rsidP="00EC6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3. Максимова М.Н., Гатауллина И.И.  Международная научно-практическая конференция Социальные процессы современной России 19-20 ноября 2020 г. Том 2, Нижний Новгород. Обеспечение эффективного функционирования системы комплексной реабилитации (абилитации) инвалидов.</w:t>
            </w:r>
            <w:r w:rsidR="008D5ED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(С. 377–381).</w:t>
            </w:r>
          </w:p>
          <w:p w:rsidR="00742098" w:rsidRPr="005A0CF3" w:rsidRDefault="00742098" w:rsidP="00EC6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4. Морозова О.Н., Радченко О.Р., Уразманов А.Р., Се</w:t>
            </w:r>
            <w:r w:rsidR="005A0CF3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ргеева В.О. </w:t>
            </w:r>
            <w:r w:rsidR="005A0CF3" w:rsidRPr="005A0C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Совершенствование работы по профилактике рака молочной железы в системе первичной медико-санитарной помощи населению /</w:t>
            </w:r>
            <w:r w:rsidR="005A0C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A0CF3" w:rsidRPr="005A0CF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Здоровье человека в XXI веке. ХII Всероссийская научно-практическая конференция с международным участием: Сборник научных статей. Казань, 28-29 октября 2020 г. /Под общей редакцией профессора Ксембаева С.С. – Казань: ИД «МеДДок», 2020. – С.524-527</w:t>
            </w:r>
          </w:p>
          <w:p w:rsidR="00AA17ED" w:rsidRPr="00AA17ED" w:rsidRDefault="00742098" w:rsidP="00EC608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  <w:r w:rsidR="002D38C5">
              <w:rPr>
                <w:rFonts w:ascii="Times New Roman" w:hAnsi="Times New Roman"/>
                <w:sz w:val="24"/>
                <w:szCs w:val="24"/>
                <w:lang w:val="tt-RU"/>
              </w:rPr>
              <w:t>. Нуртдинов И.И.</w:t>
            </w:r>
            <w:r w:rsidR="00AA17ED">
              <w:rPr>
                <w:rFonts w:ascii="Times New Roman" w:hAnsi="Times New Roman"/>
                <w:sz w:val="24"/>
                <w:szCs w:val="24"/>
                <w:lang w:val="tt-RU"/>
              </w:rPr>
              <w:t>, Зинатуллина И.И. Меж</w:t>
            </w:r>
            <w:r w:rsidR="002D38C5">
              <w:rPr>
                <w:rFonts w:ascii="Times New Roman" w:hAnsi="Times New Roman"/>
                <w:sz w:val="24"/>
                <w:szCs w:val="24"/>
                <w:lang w:val="tt-RU"/>
              </w:rPr>
              <w:t>дународная научно-практическая конференция Социальные процессы современной России 19-20 ноября 2020 г. Том 2, Нижний Новгород</w:t>
            </w:r>
            <w:r w:rsidR="00AA17E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  <w:r w:rsidR="002D38C5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Пути улучшения законодательства о непрерывном профессиональном образовании граждан предпенсионного возраста.</w:t>
            </w:r>
            <w:r w:rsidR="00CB63EC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(С. 188–191).</w:t>
            </w: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</w:t>
            </w:r>
            <w:r w:rsidR="0006680F">
              <w:rPr>
                <w:rFonts w:ascii="Times New Roman" w:hAnsi="Times New Roman"/>
                <w:sz w:val="24"/>
                <w:szCs w:val="24"/>
              </w:rPr>
              <w:t xml:space="preserve">, названия, города,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кого принимали участие, количество участников)</w:t>
            </w:r>
            <w:r w:rsidR="001B0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предоставлением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квартал 2020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конференциях, проведение</w:t>
            </w:r>
            <w:r w:rsidR="004009EB">
              <w:rPr>
                <w:rFonts w:ascii="Times New Roman" w:hAnsi="Times New Roman"/>
                <w:bCs/>
                <w:sz w:val="24"/>
                <w:szCs w:val="24"/>
              </w:rPr>
              <w:t xml:space="preserve"> совместных научно-практических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победители конкурсов, олимпиад (различного уровня)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2020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2532" w:rsidRDefault="001B2532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1B2532" w:rsidRDefault="001B2532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1B2532" w:rsidRDefault="001B2532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1B2532" w:rsidRDefault="001B2532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EC608F" w:rsidRDefault="00EC608F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кафедрой экономической теории </w:t>
      </w:r>
    </w:p>
    <w:p w:rsidR="00B541A5" w:rsidRDefault="00EC608F" w:rsidP="00EC608F">
      <w:pPr>
        <w:tabs>
          <w:tab w:val="left" w:pos="7455"/>
        </w:tabs>
        <w:ind w:firstLine="708"/>
      </w:pPr>
      <w:r>
        <w:rPr>
          <w:rFonts w:ascii="Times New Roman" w:hAnsi="Times New Roman"/>
          <w:sz w:val="24"/>
          <w:szCs w:val="24"/>
        </w:rPr>
        <w:t>и социальной работы</w:t>
      </w:r>
      <w:r>
        <w:rPr>
          <w:rFonts w:ascii="Times New Roman" w:hAnsi="Times New Roman"/>
          <w:sz w:val="24"/>
          <w:szCs w:val="24"/>
        </w:rPr>
        <w:tab/>
        <w:t xml:space="preserve">          Максимова М.Н.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82" w:rsidRDefault="00123082" w:rsidP="008638C3">
      <w:pPr>
        <w:spacing w:after="0"/>
      </w:pPr>
      <w:r>
        <w:separator/>
      </w:r>
    </w:p>
  </w:endnote>
  <w:endnote w:type="continuationSeparator" w:id="0">
    <w:p w:rsidR="00123082" w:rsidRDefault="0012308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82" w:rsidRDefault="00123082" w:rsidP="008638C3">
      <w:pPr>
        <w:spacing w:after="0"/>
      </w:pPr>
      <w:r>
        <w:separator/>
      </w:r>
    </w:p>
  </w:footnote>
  <w:footnote w:type="continuationSeparator" w:id="0">
    <w:p w:rsidR="00123082" w:rsidRDefault="0012308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1A5"/>
    <w:rsid w:val="0004092A"/>
    <w:rsid w:val="00050061"/>
    <w:rsid w:val="0006680F"/>
    <w:rsid w:val="00071843"/>
    <w:rsid w:val="00072DE2"/>
    <w:rsid w:val="00073BD0"/>
    <w:rsid w:val="0008238C"/>
    <w:rsid w:val="00094815"/>
    <w:rsid w:val="00095164"/>
    <w:rsid w:val="00097DAB"/>
    <w:rsid w:val="000A2F0E"/>
    <w:rsid w:val="000A4D7B"/>
    <w:rsid w:val="000C45F8"/>
    <w:rsid w:val="000D06BB"/>
    <w:rsid w:val="000D189A"/>
    <w:rsid w:val="000E201F"/>
    <w:rsid w:val="000E285B"/>
    <w:rsid w:val="000F2937"/>
    <w:rsid w:val="000F76DA"/>
    <w:rsid w:val="00100D50"/>
    <w:rsid w:val="00116BAB"/>
    <w:rsid w:val="00123082"/>
    <w:rsid w:val="001260D6"/>
    <w:rsid w:val="00132880"/>
    <w:rsid w:val="0013565E"/>
    <w:rsid w:val="00184176"/>
    <w:rsid w:val="00186739"/>
    <w:rsid w:val="001911FA"/>
    <w:rsid w:val="0019491A"/>
    <w:rsid w:val="001A337B"/>
    <w:rsid w:val="001B0638"/>
    <w:rsid w:val="001B2532"/>
    <w:rsid w:val="001B3121"/>
    <w:rsid w:val="001D076E"/>
    <w:rsid w:val="001D5BBC"/>
    <w:rsid w:val="001F275F"/>
    <w:rsid w:val="00206263"/>
    <w:rsid w:val="002152BC"/>
    <w:rsid w:val="00225E5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38C5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09EB"/>
    <w:rsid w:val="00401084"/>
    <w:rsid w:val="0042122D"/>
    <w:rsid w:val="00423D72"/>
    <w:rsid w:val="00423FC9"/>
    <w:rsid w:val="00432D88"/>
    <w:rsid w:val="00432FFA"/>
    <w:rsid w:val="004346E4"/>
    <w:rsid w:val="00445C2C"/>
    <w:rsid w:val="00450608"/>
    <w:rsid w:val="00450B4D"/>
    <w:rsid w:val="0045269D"/>
    <w:rsid w:val="004574C8"/>
    <w:rsid w:val="00464649"/>
    <w:rsid w:val="0047599D"/>
    <w:rsid w:val="00476D1B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5862"/>
    <w:rsid w:val="00526940"/>
    <w:rsid w:val="00526C51"/>
    <w:rsid w:val="00530407"/>
    <w:rsid w:val="00542158"/>
    <w:rsid w:val="00544740"/>
    <w:rsid w:val="00551F4C"/>
    <w:rsid w:val="005603FC"/>
    <w:rsid w:val="00560C94"/>
    <w:rsid w:val="005642F3"/>
    <w:rsid w:val="00577161"/>
    <w:rsid w:val="00583524"/>
    <w:rsid w:val="00585ADF"/>
    <w:rsid w:val="005875E7"/>
    <w:rsid w:val="00591D0A"/>
    <w:rsid w:val="00596348"/>
    <w:rsid w:val="005A0CF3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31064"/>
    <w:rsid w:val="00640750"/>
    <w:rsid w:val="00644A1D"/>
    <w:rsid w:val="006500F3"/>
    <w:rsid w:val="00654E12"/>
    <w:rsid w:val="00657256"/>
    <w:rsid w:val="0066635B"/>
    <w:rsid w:val="006703BD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2098"/>
    <w:rsid w:val="00745405"/>
    <w:rsid w:val="00753DF7"/>
    <w:rsid w:val="007550D8"/>
    <w:rsid w:val="0076259B"/>
    <w:rsid w:val="0077513F"/>
    <w:rsid w:val="00780DD3"/>
    <w:rsid w:val="00781860"/>
    <w:rsid w:val="00782579"/>
    <w:rsid w:val="00790E18"/>
    <w:rsid w:val="007A5354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389D"/>
    <w:rsid w:val="008365B1"/>
    <w:rsid w:val="00842AD0"/>
    <w:rsid w:val="00842C36"/>
    <w:rsid w:val="008432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A74B8"/>
    <w:rsid w:val="008B1084"/>
    <w:rsid w:val="008B1658"/>
    <w:rsid w:val="008B49BD"/>
    <w:rsid w:val="008B7208"/>
    <w:rsid w:val="008C48F9"/>
    <w:rsid w:val="008D0E3F"/>
    <w:rsid w:val="008D3838"/>
    <w:rsid w:val="008D5ED3"/>
    <w:rsid w:val="008E22FB"/>
    <w:rsid w:val="008E2BFF"/>
    <w:rsid w:val="008F2870"/>
    <w:rsid w:val="008F72FC"/>
    <w:rsid w:val="009069D7"/>
    <w:rsid w:val="0090794C"/>
    <w:rsid w:val="00917453"/>
    <w:rsid w:val="00932B2E"/>
    <w:rsid w:val="0093338C"/>
    <w:rsid w:val="00941021"/>
    <w:rsid w:val="00961A5F"/>
    <w:rsid w:val="009624FD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25B88"/>
    <w:rsid w:val="00A30BAC"/>
    <w:rsid w:val="00A45C68"/>
    <w:rsid w:val="00A46C79"/>
    <w:rsid w:val="00A560CE"/>
    <w:rsid w:val="00A632A6"/>
    <w:rsid w:val="00A76E08"/>
    <w:rsid w:val="00A80E30"/>
    <w:rsid w:val="00A84901"/>
    <w:rsid w:val="00A84DCC"/>
    <w:rsid w:val="00A9086F"/>
    <w:rsid w:val="00A911DE"/>
    <w:rsid w:val="00A95475"/>
    <w:rsid w:val="00AA17ED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06AF"/>
    <w:rsid w:val="00BA2CDB"/>
    <w:rsid w:val="00BB3FB3"/>
    <w:rsid w:val="00BB4CAF"/>
    <w:rsid w:val="00BC3762"/>
    <w:rsid w:val="00BC7567"/>
    <w:rsid w:val="00BE112F"/>
    <w:rsid w:val="00BE7B1F"/>
    <w:rsid w:val="00BF0360"/>
    <w:rsid w:val="00BF10AF"/>
    <w:rsid w:val="00BF3005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AAA"/>
    <w:rsid w:val="00C865F1"/>
    <w:rsid w:val="00CA1A4E"/>
    <w:rsid w:val="00CA3E9E"/>
    <w:rsid w:val="00CA4C14"/>
    <w:rsid w:val="00CA7361"/>
    <w:rsid w:val="00CB63EC"/>
    <w:rsid w:val="00CC54B5"/>
    <w:rsid w:val="00CC63F9"/>
    <w:rsid w:val="00CD22C1"/>
    <w:rsid w:val="00CE0504"/>
    <w:rsid w:val="00CE5C6B"/>
    <w:rsid w:val="00CF0CAC"/>
    <w:rsid w:val="00CF2D46"/>
    <w:rsid w:val="00CF544E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91FD3"/>
    <w:rsid w:val="00EB39F0"/>
    <w:rsid w:val="00EB7530"/>
    <w:rsid w:val="00EC3BCF"/>
    <w:rsid w:val="00EC608F"/>
    <w:rsid w:val="00EE223A"/>
    <w:rsid w:val="00EE2AFC"/>
    <w:rsid w:val="00EE695C"/>
    <w:rsid w:val="00EF5F28"/>
    <w:rsid w:val="00F15FBA"/>
    <w:rsid w:val="00F22DB5"/>
    <w:rsid w:val="00F2697A"/>
    <w:rsid w:val="00F3626C"/>
    <w:rsid w:val="00F5163E"/>
    <w:rsid w:val="00F6411F"/>
    <w:rsid w:val="00F75BBE"/>
    <w:rsid w:val="00F8569D"/>
    <w:rsid w:val="00F93A98"/>
    <w:rsid w:val="00F95575"/>
    <w:rsid w:val="00FB2012"/>
    <w:rsid w:val="00FC5561"/>
    <w:rsid w:val="00FC66BC"/>
    <w:rsid w:val="00FD6A93"/>
    <w:rsid w:val="00FF4173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3000F"/>
  <w15:docId w15:val="{D3E5CA09-0A3A-4FF4-AAC0-DB54C5EB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No Spacing"/>
    <w:aliases w:val="Андрюхин стиль,Без интервала1,Текст обычный у 0.1"/>
    <w:link w:val="ab"/>
    <w:uiPriority w:val="1"/>
    <w:qFormat/>
    <w:rsid w:val="00F22DB5"/>
    <w:rPr>
      <w:sz w:val="22"/>
      <w:szCs w:val="22"/>
      <w:lang w:eastAsia="en-US"/>
    </w:rPr>
  </w:style>
  <w:style w:type="character" w:customStyle="1" w:styleId="ab">
    <w:name w:val="Без интервала Знак"/>
    <w:aliases w:val="Андрюхин стиль Знак,Без интервала1 Знак,Текст обычный у 0.1 Знак"/>
    <w:link w:val="aa"/>
    <w:uiPriority w:val="1"/>
    <w:locked/>
    <w:rsid w:val="00F22DB5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9624F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287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42874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.springer.com/book/10.1007/978-3-030-57831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F532-F257-48D7-839C-3CFAA95A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10739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52</cp:revision>
  <cp:lastPrinted>2020-12-21T10:35:00Z</cp:lastPrinted>
  <dcterms:created xsi:type="dcterms:W3CDTF">2020-12-09T09:03:00Z</dcterms:created>
  <dcterms:modified xsi:type="dcterms:W3CDTF">2020-12-21T10:36:00Z</dcterms:modified>
</cp:coreProperties>
</file>